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ascii="Arial" w:hAnsi="Arial" w:eastAsia="Arial Unicode MS" w:cs="Arial"/>
          <w:b/>
          <w:bCs/>
          <w:szCs w:val="21"/>
          <w:lang w:val="en-US" w:eastAsia="zh-CN"/>
        </w:rPr>
      </w:pPr>
      <w:bookmarkStart w:id="2" w:name="_GoBack"/>
      <w:r>
        <w:rPr>
          <w:rFonts w:hint="eastAsia" w:ascii="Arial" w:hAnsi="Arial" w:eastAsia="Arial Unicode MS" w:cs="Arial"/>
          <w:b/>
          <w:bCs/>
          <w:szCs w:val="21"/>
          <w:lang w:val="en-US" w:eastAsia="zh-CN"/>
        </w:rPr>
        <w:t>Additional file 2: The primary and secondary outcome measures</w:t>
      </w:r>
    </w:p>
    <w:bookmarkEnd w:id="2"/>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ascii="Arial" w:hAnsi="Arial" w:eastAsia="Arial Unicode MS" w:cs="Arial"/>
          <w:b/>
          <w:bCs/>
          <w:szCs w:val="21"/>
        </w:rPr>
      </w:pPr>
      <w:r>
        <w:rPr>
          <w:rFonts w:ascii="Arial" w:hAnsi="Arial" w:eastAsia="Arial Unicode MS" w:cs="Arial"/>
          <w:b/>
          <w:bCs/>
          <w:szCs w:val="21"/>
        </w:rPr>
        <w:t>Primary Outcome Measures:</w:t>
      </w:r>
    </w:p>
    <w:p>
      <w:pPr>
        <w:keepNext w:val="0"/>
        <w:keepLines w:val="0"/>
        <w:pageBreakBefore w:val="0"/>
        <w:widowControl w:val="0"/>
        <w:numPr>
          <w:ilvl w:val="0"/>
          <w:numId w:val="1"/>
        </w:numPr>
        <w:kinsoku/>
        <w:wordWrap/>
        <w:overflowPunct/>
        <w:topLinePunct w:val="0"/>
        <w:autoSpaceDE/>
        <w:autoSpaceDN/>
        <w:bidi w:val="0"/>
        <w:adjustRightInd/>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 xml:space="preserve">Completion rate of National Institutes of Health Stroke Scale (NIHSS) </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rPr>
      </w:pPr>
      <w:r>
        <w:rPr>
          <w:rFonts w:ascii="Arial" w:hAnsi="Arial" w:eastAsia="Arial Unicode MS" w:cs="Arial"/>
          <w:szCs w:val="21"/>
        </w:rPr>
        <w:t xml:space="preserve">Completion rate of NIHSS= </w:t>
      </w:r>
      <w:r>
        <w:rPr>
          <w:rFonts w:ascii="Arial" w:hAnsi="Arial" w:eastAsia="Arial Unicode MS" w:cs="Arial"/>
        </w:rPr>
        <w:t>(</w:t>
      </w:r>
      <w:r>
        <w:rPr>
          <w:rFonts w:ascii="Arial" w:hAnsi="Arial" w:eastAsia="Arial Unicode MS" w:cs="Arial"/>
          <w:position w:val="-14"/>
        </w:rPr>
        <w:object>
          <v:shape id="_x0000_i1025"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r>
        <w:rPr>
          <w:rFonts w:ascii="Arial" w:hAnsi="Arial" w:eastAsia="Arial Unicode MS" w:cs="Arial"/>
          <w:szCs w:val="21"/>
        </w:rPr>
        <w:t xml:space="preserve">AIS patients who completed assessment of NIHSS </w:t>
      </w:r>
      <w:r>
        <w:rPr>
          <w:rFonts w:ascii="Arial" w:hAnsi="Arial" w:eastAsia="Arial Unicode MS" w:cs="Arial"/>
        </w:rPr>
        <w:t>/</w:t>
      </w:r>
      <w:r>
        <w:rPr>
          <w:rFonts w:ascii="Arial" w:hAnsi="Arial" w:eastAsia="Arial Unicode MS" w:cs="Arial"/>
          <w:position w:val="-14"/>
        </w:rPr>
        <w:object>
          <v:shape id="_x0000_i1026"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26" DrawAspect="Content" ObjectID="_1468075726" r:id="rId7">
            <o:LockedField>false</o:LockedField>
          </o:OLEObject>
        </w:object>
      </w:r>
      <w:r>
        <w:rPr>
          <w:rFonts w:ascii="Arial" w:hAnsi="Arial" w:eastAsia="Arial Unicode MS" w:cs="Arial"/>
          <w:szCs w:val="21"/>
        </w:rPr>
        <w:t>the total number of cerebral infarction patients hospitalize in the same period)</w:t>
      </w:r>
      <w:r>
        <w:rPr>
          <w:rFonts w:ascii="Arial" w:hAnsi="Arial" w:eastAsia="Arial Unicode MS" w:cs="Arial"/>
        </w:rPr>
        <w:t>*100%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intravenous recombinant tissue plasminogen activator (rt-pa) within 4.5 hours of onset</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 xml:space="preserve"> Rate of intravenous tPA within 4.5 hours of onset= (</w:t>
      </w:r>
      <w:r>
        <w:rPr>
          <w:rFonts w:ascii="Arial" w:hAnsi="Arial" w:eastAsia="Arial Unicode MS" w:cs="Arial"/>
          <w:szCs w:val="21"/>
        </w:rPr>
        <w:object>
          <v:shape id="_x0000_i1027"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27" DrawAspect="Content" ObjectID="_1468075727" r:id="rId8">
            <o:LockedField>false</o:LockedField>
          </o:OLEObject>
        </w:object>
      </w:r>
      <w:r>
        <w:rPr>
          <w:rFonts w:ascii="Arial" w:hAnsi="Arial" w:eastAsia="Arial Unicode MS" w:cs="Arial"/>
          <w:szCs w:val="21"/>
        </w:rPr>
        <w:t>AIS patients who received intravenous rt-pa thrombolytic therapy within 4.5 hours/</w:t>
      </w:r>
      <w:r>
        <w:rPr>
          <w:rFonts w:ascii="Arial" w:hAnsi="Arial" w:eastAsia="Arial Unicode MS" w:cs="Arial"/>
          <w:szCs w:val="21"/>
        </w:rPr>
        <w:object>
          <v:shape id="_x0000_i1028"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28" DrawAspect="Content" ObjectID="_1468075728" r:id="rId9">
            <o:LockedField>false</o:LockedField>
          </o:OLEObject>
        </w:object>
      </w:r>
      <w:r>
        <w:rPr>
          <w:rFonts w:ascii="Arial" w:hAnsi="Arial" w:eastAsia="Arial Unicode MS" w:cs="Arial"/>
          <w:szCs w:val="21"/>
        </w:rPr>
        <w:t>cerebral infarction who were admitted to hospital within 4.5 hours in the same period)*100%</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administration of aspirin or other antiplatelet agents within 48 hours of admission</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 xml:space="preserve"> Rate of administration of aspirin or other antiplatelet agents within 48 hours of admission= (</w:t>
      </w:r>
      <w:r>
        <w:rPr>
          <w:rFonts w:ascii="Arial" w:hAnsi="Arial" w:eastAsia="Arial Unicode MS" w:cs="Arial"/>
          <w:szCs w:val="21"/>
        </w:rPr>
        <w:object>
          <v:shape id="_x0000_i1029"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29" DrawAspect="Content" ObjectID="_1468075729" r:id="rId10">
            <o:LockedField>false</o:LockedField>
          </o:OLEObject>
        </w:object>
      </w:r>
      <w:r>
        <w:rPr>
          <w:rFonts w:ascii="Arial" w:hAnsi="Arial" w:eastAsia="Arial Unicode MS" w:cs="Arial"/>
          <w:szCs w:val="21"/>
        </w:rPr>
        <w:t>AIS patients who received aspirin or other antiplatelet agents within 48 hours of admission/</w:t>
      </w:r>
      <w:r>
        <w:rPr>
          <w:rFonts w:ascii="Arial" w:hAnsi="Arial" w:eastAsia="Arial Unicode MS" w:cs="Arial"/>
          <w:szCs w:val="21"/>
        </w:rPr>
        <w:object>
          <v:shape id="_x0000_i1030"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0" DrawAspect="Content" ObjectID="_1468075730" r:id="rId11">
            <o:LockedField>false</o:LockedField>
          </o:OLEObject>
        </w:object>
      </w:r>
      <w:r>
        <w:rPr>
          <w:rFonts w:ascii="Arial" w:hAnsi="Arial" w:eastAsia="Arial Unicode MS" w:cs="Arial"/>
          <w:szCs w:val="21"/>
        </w:rPr>
        <w:t>the total number of cerebral infarction patients hospitalized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statin use during hospitalization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statin use during hospitalization= (</w:t>
      </w:r>
      <w:r>
        <w:rPr>
          <w:rFonts w:ascii="Arial" w:hAnsi="Arial" w:eastAsia="Arial Unicode MS" w:cs="Arial"/>
          <w:szCs w:val="21"/>
        </w:rPr>
        <w:object>
          <v:shape id="_x0000_i1031"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1" DrawAspect="Content" ObjectID="_1468075731" r:id="rId12">
            <o:LockedField>false</o:LockedField>
          </o:OLEObject>
        </w:object>
      </w:r>
      <w:r>
        <w:rPr>
          <w:rFonts w:ascii="Arial" w:hAnsi="Arial" w:eastAsia="Arial Unicode MS" w:cs="Arial"/>
          <w:szCs w:val="21"/>
        </w:rPr>
        <w:t>patients hospitalized for cerebral infarction who were treated with statins /</w:t>
      </w:r>
      <w:r>
        <w:rPr>
          <w:rFonts w:ascii="Arial" w:hAnsi="Arial" w:eastAsia="Arial Unicode MS" w:cs="Arial"/>
          <w:szCs w:val="21"/>
        </w:rPr>
        <w:object>
          <v:shape id="_x0000_i1032"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2" DrawAspect="Content" ObjectID="_1468075732" r:id="rId13">
            <o:LockedField>false</o:LockedField>
          </o:OLEObject>
        </w:object>
      </w:r>
      <w:r>
        <w:rPr>
          <w:rFonts w:ascii="Arial" w:hAnsi="Arial" w:eastAsia="Arial Unicode MS" w:cs="Arial"/>
          <w:szCs w:val="21"/>
        </w:rPr>
        <w:t>the total number of cerebral infarction patients hospitalized in the same period)*100%</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statin treatment at discharge</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statin treatment at discharge= (</w:t>
      </w:r>
      <w:r>
        <w:rPr>
          <w:rFonts w:ascii="Arial" w:hAnsi="Arial" w:eastAsia="Arial Unicode MS" w:cs="Arial"/>
          <w:szCs w:val="21"/>
        </w:rPr>
        <w:object>
          <v:shape id="_x0000_i1033"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3" DrawAspect="Content" ObjectID="_1468075733" r:id="rId14">
            <o:LockedField>false</o:LockedField>
          </o:OLEObject>
        </w:object>
      </w:r>
      <w:r>
        <w:rPr>
          <w:rFonts w:ascii="Arial" w:hAnsi="Arial" w:eastAsia="Arial Unicode MS" w:cs="Arial"/>
          <w:szCs w:val="21"/>
        </w:rPr>
        <w:t>patients with cerebral infarction who received statin at discharge/</w:t>
      </w:r>
      <w:r>
        <w:rPr>
          <w:rFonts w:ascii="Arial" w:hAnsi="Arial" w:eastAsia="Arial Unicode MS" w:cs="Arial"/>
          <w:szCs w:val="21"/>
        </w:rPr>
        <w:object>
          <v:shape id="_x0000_i1034"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4" DrawAspect="Content" ObjectID="_1468075734" r:id="rId15">
            <o:LockedField>false</o:LockedField>
          </o:OLEObject>
        </w:object>
      </w:r>
      <w:r>
        <w:rPr>
          <w:rFonts w:ascii="Arial" w:hAnsi="Arial" w:eastAsia="Arial Unicode MS" w:cs="Arial"/>
          <w:szCs w:val="21"/>
        </w:rPr>
        <w:t>the total number of patients with non-cardiac infarction who were hospitalized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antithrombotic therapy at discharge</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antithrombotic therapy at discharge= (</w:t>
      </w:r>
      <w:r>
        <w:rPr>
          <w:rFonts w:ascii="Arial" w:hAnsi="Arial" w:eastAsia="Arial Unicode MS" w:cs="Arial"/>
          <w:szCs w:val="21"/>
        </w:rPr>
        <w:object>
          <v:shape id="_x0000_i1035"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5" DrawAspect="Content" ObjectID="_1468075735" r:id="rId16">
            <o:LockedField>false</o:LockedField>
          </o:OLEObject>
        </w:object>
      </w:r>
      <w:r>
        <w:rPr>
          <w:rFonts w:ascii="Arial" w:hAnsi="Arial" w:eastAsia="Arial Unicode MS" w:cs="Arial"/>
          <w:szCs w:val="21"/>
        </w:rPr>
        <w:t>patients with cerebral infarction who received antithrombotic drugs (such as aspirin, other antiplatelet agents, heparin, warfarin or new oral anticoagulants) at discharge/</w:t>
      </w:r>
      <w:r>
        <w:rPr>
          <w:rFonts w:ascii="Arial" w:hAnsi="Arial" w:eastAsia="Arial Unicode MS" w:cs="Arial"/>
          <w:szCs w:val="21"/>
        </w:rPr>
        <w:object>
          <v:shape id="_x0000_i1036"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6" DrawAspect="Content" ObjectID="_1468075736" r:id="rId17">
            <o:LockedField>false</o:LockedField>
          </o:OLEObject>
        </w:object>
      </w:r>
      <w:r>
        <w:rPr>
          <w:rFonts w:ascii="Arial" w:hAnsi="Arial" w:eastAsia="Arial Unicode MS" w:cs="Arial"/>
          <w:szCs w:val="21"/>
        </w:rPr>
        <w:t>the total number of hospitalized patients with cerebral infarction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The rate of anticoagulant treatment for patients with atrial fibrillation at discharge</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The rate of anticoagulant treatment for patients with atrial fibrillation at discharge= (</w:t>
      </w:r>
      <w:r>
        <w:rPr>
          <w:rFonts w:ascii="Arial" w:hAnsi="Arial" w:eastAsia="Arial Unicode MS" w:cs="Arial"/>
          <w:szCs w:val="21"/>
        </w:rPr>
        <w:object>
          <v:shape id="_x0000_i1037"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7" DrawAspect="Content" ObjectID="_1468075737" r:id="rId18">
            <o:LockedField>false</o:LockedField>
          </o:OLEObject>
        </w:object>
      </w:r>
      <w:r>
        <w:rPr>
          <w:rFonts w:ascii="Arial" w:hAnsi="Arial" w:eastAsia="Arial Unicode MS" w:cs="Arial"/>
          <w:szCs w:val="21"/>
        </w:rPr>
        <w:t>patients with cerebral infarction complicated with atrial fibrillation who received anticoagulants (e.g., heparin, low molecular heparin, warfarin, new oral anticoagulants) at discharge/</w:t>
      </w:r>
      <w:r>
        <w:rPr>
          <w:rFonts w:ascii="Arial" w:hAnsi="Arial" w:eastAsia="Arial Unicode MS" w:cs="Arial"/>
          <w:szCs w:val="21"/>
        </w:rPr>
        <w:object>
          <v:shape id="_x0000_i1038"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8" DrawAspect="Content" ObjectID="_1468075738" r:id="rId19">
            <o:LockedField>false</o:LockedField>
          </o:OLEObject>
        </w:object>
      </w:r>
      <w:r>
        <w:rPr>
          <w:rFonts w:ascii="Arial" w:hAnsi="Arial" w:eastAsia="Arial Unicode MS" w:cs="Arial"/>
          <w:szCs w:val="21"/>
        </w:rPr>
        <w:t>the total number of patients with cerebral infarction complicated with atrial fibrillation treated in hospital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ascii="Arial" w:hAnsi="Arial" w:eastAsia="Arial Unicode MS" w:cs="Arial"/>
          <w:b/>
          <w:bCs/>
          <w:szCs w:val="21"/>
        </w:rPr>
      </w:pPr>
      <w:r>
        <w:rPr>
          <w:rFonts w:ascii="Arial" w:hAnsi="Arial" w:eastAsia="Arial Unicode MS" w:cs="Arial"/>
          <w:b/>
          <w:bCs/>
          <w:szCs w:val="21"/>
        </w:rPr>
        <w:t>Secondary Outcome Measures:</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prevention of deep vein thrombosis</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prevention of deep vein thrombosis= (</w:t>
      </w:r>
      <w:r>
        <w:rPr>
          <w:rFonts w:ascii="Arial" w:hAnsi="Arial" w:eastAsia="Arial Unicode MS" w:cs="Arial"/>
          <w:szCs w:val="21"/>
        </w:rPr>
        <w:object>
          <v:shape id="_x0000_i1039"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39" DrawAspect="Content" ObjectID="_1468075739" r:id="rId20">
            <o:LockedField>false</o:LockedField>
          </o:OLEObject>
        </w:object>
      </w:r>
      <w:r>
        <w:rPr>
          <w:rFonts w:ascii="Arial" w:hAnsi="Arial" w:eastAsia="Arial Unicode MS" w:cs="Arial"/>
          <w:szCs w:val="21"/>
        </w:rPr>
        <w:t xml:space="preserve"> patients who were unable to get out of bed for cerebral infarction within 48 hours of admission that were given prophylactic measures including heparin and/or DVT (Deep vein thrombosis) /</w:t>
      </w:r>
      <w:r>
        <w:rPr>
          <w:rFonts w:ascii="Arial" w:hAnsi="Arial" w:eastAsia="Arial Unicode MS" w:cs="Arial"/>
          <w:szCs w:val="21"/>
        </w:rPr>
        <w:object>
          <v:shape id="_x0000_i1040"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0" DrawAspect="Content" ObjectID="_1468075740" r:id="rId21">
            <o:LockedField>false</o:LockedField>
          </o:OLEObject>
        </w:object>
      </w:r>
      <w:r>
        <w:rPr>
          <w:rFonts w:ascii="Arial" w:hAnsi="Arial" w:eastAsia="Arial Unicode MS" w:cs="Arial"/>
          <w:szCs w:val="21"/>
        </w:rPr>
        <w:t>patients who were unable to get out of bed for cerebral infarction treated in hospital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blood vessel assessment within one week of hospitalization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blood vessel assessment within one week of hospitalization= (</w:t>
      </w:r>
      <w:r>
        <w:rPr>
          <w:rFonts w:ascii="Arial" w:hAnsi="Arial" w:eastAsia="Arial Unicode MS" w:cs="Arial"/>
          <w:szCs w:val="21"/>
        </w:rPr>
        <w:object>
          <v:shape id="_x0000_i1041"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1" DrawAspect="Content" ObjectID="_1468075741" r:id="rId22">
            <o:LockedField>false</o:LockedField>
          </o:OLEObject>
        </w:object>
      </w:r>
      <w:r>
        <w:rPr>
          <w:rFonts w:ascii="Arial" w:hAnsi="Arial" w:eastAsia="Arial Unicode MS" w:cs="Arial"/>
          <w:szCs w:val="21"/>
        </w:rPr>
        <w:t>patients with cerebral infarction hospitalized for 1 week who had completed the evaluation of the blood vessels in the neck and cranial (such as the ultrasound of the blood vessels in the neck or cranial, CT or MR angiography, or DSA)/</w:t>
      </w:r>
      <w:r>
        <w:rPr>
          <w:rFonts w:ascii="Arial" w:hAnsi="Arial" w:eastAsia="Arial Unicode MS" w:cs="Arial"/>
          <w:szCs w:val="21"/>
        </w:rPr>
        <w:object>
          <v:shape id="_x0000_i1042"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2" DrawAspect="Content" ObjectID="_1468075742" r:id="rId23">
            <o:LockedField>false</o:LockedField>
          </o:OLEObject>
        </w:object>
      </w:r>
      <w:r>
        <w:rPr>
          <w:rFonts w:ascii="Arial" w:hAnsi="Arial" w:eastAsia="Arial Unicode MS" w:cs="Arial"/>
          <w:szCs w:val="21"/>
        </w:rPr>
        <w:t>the total number of cerebral infarction patients hospitalized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swallowing function evaluation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swallowing function evaluation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 (</w:t>
      </w:r>
      <w:r>
        <w:rPr>
          <w:rFonts w:ascii="Arial" w:hAnsi="Arial" w:eastAsia="Arial Unicode MS" w:cs="Arial"/>
          <w:szCs w:val="21"/>
        </w:rPr>
        <w:object>
          <v:shape id="_x0000_i1043"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3" DrawAspect="Content" ObjectID="_1468075743" r:id="rId24">
            <o:LockedField>false</o:LockedField>
          </o:OLEObject>
        </w:object>
      </w:r>
      <w:r>
        <w:rPr>
          <w:rFonts w:ascii="Arial" w:hAnsi="Arial" w:eastAsia="Arial Unicode MS" w:cs="Arial"/>
          <w:szCs w:val="21"/>
        </w:rPr>
        <w:t>patients who had a history of drinking water test /</w:t>
      </w:r>
      <w:r>
        <w:rPr>
          <w:rFonts w:ascii="Arial" w:hAnsi="Arial" w:eastAsia="Arial Unicode MS" w:cs="Arial"/>
          <w:szCs w:val="21"/>
        </w:rPr>
        <w:object>
          <v:shape id="_x0000_i1044"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4" DrawAspect="Content" ObjectID="_1468075744" r:id="rId25">
            <o:LockedField>false</o:LockedField>
          </o:OLEObject>
        </w:object>
      </w:r>
      <w:r>
        <w:rPr>
          <w:rFonts w:ascii="Arial" w:hAnsi="Arial" w:eastAsia="Arial Unicode MS" w:cs="Arial"/>
          <w:szCs w:val="21"/>
        </w:rPr>
        <w:t>the total number of stroke patients who were hospitalized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lipid level assessment</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lipid level assessment= (</w:t>
      </w:r>
      <w:r>
        <w:rPr>
          <w:rFonts w:ascii="Arial" w:hAnsi="Arial" w:eastAsia="Arial Unicode MS" w:cs="Arial"/>
          <w:szCs w:val="21"/>
        </w:rPr>
        <w:object>
          <v:shape id="_x0000_i1045"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5" DrawAspect="Content" ObjectID="_1468075745" r:id="rId26">
            <o:LockedField>false</o:LockedField>
          </o:OLEObject>
        </w:object>
      </w:r>
      <w:r>
        <w:rPr>
          <w:rFonts w:ascii="Arial" w:hAnsi="Arial" w:eastAsia="Arial Unicode MS" w:cs="Arial"/>
          <w:szCs w:val="21"/>
        </w:rPr>
        <w:t>patients who were assessed on lipid level during hospitalization /</w:t>
      </w:r>
      <w:r>
        <w:rPr>
          <w:rFonts w:ascii="Arial" w:hAnsi="Arial" w:eastAsia="Arial Unicode MS" w:cs="Arial"/>
          <w:szCs w:val="21"/>
        </w:rPr>
        <w:object>
          <v:shape id="_x0000_i1046"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6" DrawAspect="Content" ObjectID="_1468075746" r:id="rId27">
            <o:LockedField>false</o:LockedField>
          </o:OLEObject>
        </w:object>
      </w:r>
      <w:r>
        <w:rPr>
          <w:rFonts w:ascii="Arial" w:hAnsi="Arial" w:eastAsia="Arial Unicode MS" w:cs="Arial"/>
          <w:szCs w:val="21"/>
        </w:rPr>
        <w:t>the total number of patients who were hospitalized during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rehabilitation evaluation and implementation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rehabilitation evaluation and implementation= (</w:t>
      </w:r>
      <w:r>
        <w:rPr>
          <w:rFonts w:ascii="Arial" w:hAnsi="Arial" w:eastAsia="Arial Unicode MS" w:cs="Arial"/>
          <w:szCs w:val="21"/>
        </w:rPr>
        <w:object>
          <v:shape id="_x0000_i1047"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7" DrawAspect="Content" ObjectID="_1468075747" r:id="rId28">
            <o:LockedField>false</o:LockedField>
          </o:OLEObject>
        </w:object>
      </w:r>
      <w:r>
        <w:rPr>
          <w:rFonts w:ascii="Arial" w:hAnsi="Arial" w:eastAsia="Arial Unicode MS" w:cs="Arial"/>
          <w:color w:val="2E3033"/>
          <w:szCs w:val="21"/>
          <w:shd w:val="clear" w:color="auto" w:fill="FFFFFF"/>
        </w:rPr>
        <w:t>patients who received rehabilitation evaluation and  implementation during the hospital period (48 hours after the patient's condition was stable)</w:t>
      </w:r>
      <w:r>
        <w:rPr>
          <w:rFonts w:ascii="Arial" w:hAnsi="Arial" w:eastAsia="Arial Unicode MS" w:cs="Arial"/>
          <w:szCs w:val="21"/>
        </w:rPr>
        <w:t>/</w:t>
      </w:r>
      <w:r>
        <w:rPr>
          <w:rFonts w:ascii="Arial" w:hAnsi="Arial" w:eastAsia="Arial Unicode MS" w:cs="Arial"/>
          <w:szCs w:val="21"/>
        </w:rPr>
        <w:object>
          <v:shape id="_x0000_i1048"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8" DrawAspect="Content" ObjectID="_1468075748" r:id="rId29">
            <o:LockedField>false</o:LockedField>
          </o:OLEObject>
        </w:object>
      </w:r>
      <w:r>
        <w:rPr>
          <w:rFonts w:ascii="Arial" w:hAnsi="Arial" w:eastAsia="Arial Unicode MS" w:cs="Arial"/>
          <w:szCs w:val="21"/>
        </w:rPr>
        <w:t>t</w:t>
      </w:r>
      <w:bookmarkStart w:id="0" w:name="OLE_LINK12"/>
      <w:r>
        <w:rPr>
          <w:rFonts w:ascii="Arial" w:hAnsi="Arial" w:eastAsia="Arial Unicode MS" w:cs="Arial"/>
          <w:szCs w:val="21"/>
        </w:rPr>
        <w:t>he total number of patients who were hospitalized during the same period</w:t>
      </w:r>
      <w:bookmarkEnd w:id="0"/>
      <w:r>
        <w:rPr>
          <w:rFonts w:ascii="Arial" w:hAnsi="Arial" w:eastAsia="Arial Unicode MS" w:cs="Arial"/>
          <w:szCs w:val="21"/>
        </w:rPr>
        <w:t>)*100%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offerring quit smoking counseling or health benefits education</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offerring quit smoking counseling or health benefits education= (</w:t>
      </w:r>
      <w:r>
        <w:rPr>
          <w:rFonts w:ascii="Arial" w:hAnsi="Arial" w:eastAsia="Arial Unicode MS" w:cs="Arial"/>
          <w:szCs w:val="21"/>
        </w:rPr>
        <w:object>
          <v:shape id="_x0000_i1049"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49" DrawAspect="Content" ObjectID="_1468075749" r:id="rId30">
            <o:LockedField>false</o:LockedField>
          </o:OLEObject>
        </w:object>
      </w:r>
      <w:r>
        <w:rPr>
          <w:rFonts w:ascii="Arial" w:hAnsi="Arial" w:eastAsia="Arial Unicode MS" w:cs="Arial"/>
          <w:szCs w:val="21"/>
        </w:rPr>
        <w:t>patients who received smoking cessation counseling or health benefits education during hospitalization/</w:t>
      </w:r>
      <w:r>
        <w:rPr>
          <w:rFonts w:ascii="Arial" w:hAnsi="Arial" w:eastAsia="Arial Unicode MS" w:cs="Arial"/>
          <w:szCs w:val="21"/>
        </w:rPr>
        <w:object>
          <v:shape id="_x0000_i1050"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0" DrawAspect="Content" ObjectID="_1468075750" r:id="rId31">
            <o:LockedField>false</o:LockedField>
          </o:OLEObject>
        </w:object>
      </w:r>
      <w:r>
        <w:rPr>
          <w:rFonts w:ascii="Arial" w:hAnsi="Arial" w:eastAsia="Arial Unicode MS" w:cs="Arial"/>
          <w:szCs w:val="21"/>
        </w:rPr>
        <w:t>the total number of patients with cerebral infarction who were hospitalized during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The rate of antihypertensive therapy for cerebral infarction patients with hypertension at discharge</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The rate of antihypertensive therapy for cerebral infarction patients with hypertension at discharge= (</w:t>
      </w:r>
      <w:r>
        <w:rPr>
          <w:rFonts w:ascii="Arial" w:hAnsi="Arial" w:eastAsia="Arial Unicode MS" w:cs="Arial"/>
          <w:szCs w:val="21"/>
        </w:rPr>
        <w:object>
          <v:shape id="_x0000_i1051"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1" DrawAspect="Content" ObjectID="_1468075751" r:id="rId32">
            <o:LockedField>false</o:LockedField>
          </o:OLEObject>
        </w:object>
      </w:r>
      <w:r>
        <w:rPr>
          <w:rFonts w:ascii="Arial" w:hAnsi="Arial" w:eastAsia="Arial Unicode MS" w:cs="Arial"/>
          <w:szCs w:val="21"/>
        </w:rPr>
        <w:t xml:space="preserve"> patients with cerebral infarction complicated with hypertension who were given antihypertensive drugs at discharge /</w:t>
      </w:r>
      <w:r>
        <w:rPr>
          <w:rFonts w:ascii="Arial" w:hAnsi="Arial" w:eastAsia="Arial Unicode MS" w:cs="Arial"/>
          <w:szCs w:val="21"/>
        </w:rPr>
        <w:object>
          <v:shape id="_x0000_i1052"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2" DrawAspect="Content" ObjectID="_1468075752" r:id="rId33">
            <o:LockedField>false</o:LockedField>
          </o:OLEObject>
        </w:object>
      </w:r>
      <w:r>
        <w:rPr>
          <w:rFonts w:ascii="Arial" w:hAnsi="Arial" w:eastAsia="Arial Unicode MS" w:cs="Arial"/>
          <w:szCs w:val="21"/>
        </w:rPr>
        <w:t>the total number of patients with cerebral infarction complicated with hypertension who were hospitalized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r>
        <w:rPr>
          <w:rFonts w:ascii="Arial" w:hAnsi="Arial" w:eastAsia="Arial Unicode MS" w:cs="Arial"/>
          <w:szCs w:val="21"/>
        </w:rPr>
        <w:t>Rate of Patients with diabetes were given hypoglycemic treatment at discharge</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ascii="Arial" w:hAnsi="Arial" w:eastAsia="Arial Unicode MS" w:cs="Arial"/>
          <w:szCs w:val="21"/>
        </w:rPr>
        <w:t>Rate of Patients with diabetes were given hypoglycemic treatment at discharge= (</w:t>
      </w:r>
      <w:r>
        <w:rPr>
          <w:rFonts w:ascii="Arial" w:hAnsi="Arial" w:eastAsia="Arial Unicode MS" w:cs="Arial"/>
          <w:szCs w:val="21"/>
        </w:rPr>
        <w:object>
          <v:shape id="_x0000_i1053"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3" DrawAspect="Content" ObjectID="_1468075753" r:id="rId34">
            <o:LockedField>false</o:LockedField>
          </o:OLEObject>
        </w:object>
      </w:r>
      <w:r>
        <w:rPr>
          <w:rFonts w:ascii="Arial" w:hAnsi="Arial" w:eastAsia="Arial Unicode MS" w:cs="Arial"/>
          <w:szCs w:val="21"/>
        </w:rPr>
        <w:t>patients with cerebral infarction complicated with diabetes who were given hypoglycemic drugs at discharge/</w:t>
      </w:r>
      <w:r>
        <w:rPr>
          <w:rFonts w:ascii="Arial" w:hAnsi="Arial" w:eastAsia="Arial Unicode MS" w:cs="Arial"/>
          <w:szCs w:val="21"/>
        </w:rPr>
        <w:object>
          <v:shape id="_x0000_i1054"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4" DrawAspect="Content" ObjectID="_1468075754" r:id="rId35">
            <o:LockedField>false</o:LockedField>
          </o:OLEObject>
        </w:object>
      </w:r>
      <w:r>
        <w:rPr>
          <w:rFonts w:ascii="Arial" w:hAnsi="Arial" w:eastAsia="Arial Unicode MS" w:cs="Arial"/>
          <w:szCs w:val="21"/>
        </w:rPr>
        <w:t>the total number of patients with cerebral infarction complicated with diabetes treated in hospital in the same period)*100%</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right="0" w:rightChars="0"/>
        <w:jc w:val="both"/>
        <w:textAlignment w:val="auto"/>
        <w:outlineLvl w:val="9"/>
        <w:rPr>
          <w:rFonts w:ascii="Arial" w:hAnsi="Arial" w:eastAsia="Arial Unicode MS" w:cs="Arial"/>
          <w:szCs w:val="21"/>
        </w:rPr>
      </w:pPr>
      <w:bookmarkStart w:id="1" w:name="OLE_LINK11"/>
      <w:r>
        <w:rPr>
          <w:rFonts w:hint="eastAsia" w:ascii="Arial" w:hAnsi="Arial" w:eastAsia="宋体" w:cs="Arial"/>
          <w:color w:val="333333"/>
          <w:szCs w:val="21"/>
          <w:shd w:val="clear" w:color="auto" w:fill="auto"/>
          <w:lang w:val="en-US" w:eastAsia="zh-CN"/>
        </w:rPr>
        <w:t>Recurrence rate</w:t>
      </w:r>
    </w:p>
    <w:bookmarkEnd w:id="1"/>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r>
        <w:rPr>
          <w:rFonts w:hint="eastAsia" w:ascii="Arial" w:hAnsi="Arial" w:eastAsia="Arial Unicode MS" w:cs="Arial"/>
          <w:szCs w:val="21"/>
        </w:rPr>
        <w:t>Recurrence rate</w:t>
      </w:r>
      <w:r>
        <w:rPr>
          <w:rFonts w:ascii="Arial" w:hAnsi="Arial" w:eastAsia="Arial Unicode MS" w:cs="Arial"/>
          <w:szCs w:val="21"/>
        </w:rPr>
        <w:t>= (</w:t>
      </w:r>
      <w:r>
        <w:rPr>
          <w:rFonts w:ascii="Arial" w:hAnsi="Arial" w:eastAsia="Arial Unicode MS" w:cs="Arial"/>
          <w:szCs w:val="21"/>
        </w:rPr>
        <w:object>
          <v:shape id="_x0000_i1055"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5" DrawAspect="Content" ObjectID="_1468075755" r:id="rId36">
            <o:LockedField>false</o:LockedField>
          </o:OLEObject>
        </w:object>
      </w:r>
      <w:r>
        <w:rPr>
          <w:rFonts w:hint="eastAsia" w:ascii="Arial" w:hAnsi="Arial" w:eastAsia="Arial Unicode MS" w:cs="Arial"/>
          <w:szCs w:val="21"/>
        </w:rPr>
        <w:t>patients who had recurrent ischemic stroke withi</w:t>
      </w:r>
      <w:r>
        <w:rPr>
          <w:rFonts w:hint="eastAsia" w:ascii="Arial" w:hAnsi="Arial" w:eastAsia="Arial Unicode MS" w:cs="Arial"/>
          <w:b w:val="0"/>
          <w:bCs w:val="0"/>
          <w:szCs w:val="21"/>
        </w:rPr>
        <w:t xml:space="preserve">n 12 month </w:t>
      </w:r>
      <w:r>
        <w:rPr>
          <w:rFonts w:hint="eastAsia" w:ascii="Arial" w:hAnsi="Arial" w:eastAsia="Arial Unicode MS" w:cs="Arial"/>
          <w:szCs w:val="21"/>
        </w:rPr>
        <w:t xml:space="preserve">after the first events </w:t>
      </w:r>
      <w:r>
        <w:rPr>
          <w:rFonts w:ascii="Arial" w:hAnsi="Arial" w:eastAsia="Arial Unicode MS" w:cs="Arial"/>
          <w:szCs w:val="21"/>
        </w:rPr>
        <w:t>/</w:t>
      </w:r>
      <w:r>
        <w:rPr>
          <w:rFonts w:ascii="Arial" w:hAnsi="Arial" w:eastAsia="Arial Unicode MS" w:cs="Arial"/>
          <w:szCs w:val="21"/>
        </w:rPr>
        <w:object>
          <v:shape id="_x0000_i1056" o:spt="75" type="#_x0000_t75" style="height:14.5pt;width:16.5pt;" o:ole="t" filled="f" o:preferrelative="t" stroked="f" coordsize="21600,21600">
            <v:path/>
            <v:fill on="f" focussize="0,0"/>
            <v:stroke on="f" joinstyle="miter"/>
            <v:imagedata r:id="rId6" o:title=""/>
            <o:lock v:ext="edit" aspectratio="t"/>
            <w10:wrap type="none"/>
            <w10:anchorlock/>
          </v:shape>
          <o:OLEObject Type="Embed" ProgID="Equation.3" ShapeID="_x0000_i1056" DrawAspect="Content" ObjectID="_1468075756" r:id="rId37">
            <o:LockedField>false</o:LockedField>
          </o:OLEObject>
        </w:object>
      </w:r>
      <w:r>
        <w:rPr>
          <w:rFonts w:hint="eastAsia" w:ascii="Arial" w:hAnsi="Arial" w:eastAsia="Arial Unicode MS" w:cs="Arial"/>
          <w:szCs w:val="21"/>
        </w:rPr>
        <w:t>t</w:t>
      </w:r>
      <w:r>
        <w:rPr>
          <w:rFonts w:hint="eastAsia" w:ascii="Arial" w:hAnsi="Arial" w:eastAsia="Arial Unicode MS" w:cs="Arial"/>
          <w:color w:val="2E3033"/>
          <w:szCs w:val="21"/>
          <w:shd w:val="clear" w:color="auto" w:fill="FFFFFF"/>
        </w:rPr>
        <w:t xml:space="preserve">he total number of patients who were hospitalized during the same period </w:t>
      </w:r>
      <w:r>
        <w:rPr>
          <w:rFonts w:ascii="Arial" w:hAnsi="Arial" w:eastAsia="Arial Unicode MS" w:cs="Arial"/>
          <w:szCs w:val="21"/>
        </w:rPr>
        <w:t>)*100%</w:t>
      </w:r>
    </w:p>
    <w:p>
      <w:pPr>
        <w:keepNext w:val="0"/>
        <w:keepLines w:val="0"/>
        <w:pageBreakBefore w:val="0"/>
        <w:widowControl w:val="0"/>
        <w:numPr>
          <w:ilvl w:val="255"/>
          <w:numId w:val="0"/>
        </w:numPr>
        <w:kinsoku/>
        <w:wordWrap/>
        <w:overflowPunct/>
        <w:topLinePunct w:val="0"/>
        <w:autoSpaceDE/>
        <w:autoSpaceDN/>
        <w:bidi w:val="0"/>
        <w:adjustRightInd/>
        <w:snapToGrid w:val="0"/>
        <w:spacing w:line="360" w:lineRule="auto"/>
        <w:ind w:left="0" w:leftChars="0" w:right="0" w:rightChars="0" w:firstLine="210" w:firstLineChars="100"/>
        <w:jc w:val="both"/>
        <w:textAlignment w:val="auto"/>
        <w:outlineLvl w:val="9"/>
        <w:rPr>
          <w:rFonts w:ascii="Arial" w:hAnsi="Arial" w:eastAsia="Arial Unicode MS" w:cs="Arial"/>
          <w:szCs w:val="21"/>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ascii="Arial" w:hAnsi="Arial" w:eastAsia="Arial Unicode MS" w:cs="Arial"/>
          <w:szCs w:val="21"/>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8CF3C50" w:usb2="00000016" w:usb3="00000000" w:csb0="0004001F" w:csb1="00000000"/>
  </w:font>
  <w:font w:name="Calibri Light">
    <w:panose1 w:val="020F0302020204030204"/>
    <w:charset w:val="00"/>
    <w:family w:val="swiss"/>
    <w:pitch w:val="default"/>
    <w:sig w:usb0="E0002AFF" w:usb1="C000247B" w:usb2="00000009" w:usb3="00000000" w:csb0="200001FF" w:csb1="00000000"/>
  </w:font>
  <w:font w:name="Europ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762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76200" cy="1828800"/>
                      </a:xfrm>
                      <a:prstGeom prst="rect">
                        <a:avLst/>
                      </a:prstGeom>
                      <a:noFill/>
                      <a:ln w="6350">
                        <a:noFill/>
                      </a:ln>
                      <a:effectLst/>
                    </wps:spPr>
                    <wps:txbx>
                      <w:txbxContent>
                        <w:p>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PAGE  \* MERGEFORMAT </w:instrText>
                          </w:r>
                          <w:r>
                            <w:rPr>
                              <w:rFonts w:hint="eastAsia"/>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rFonts w:hint="eastAsia"/>
                              <w:color w:val="000000" w:themeColor="text1"/>
                              <w14:textFill>
                                <w14:solidFill>
                                  <w14:schemeClr w14:val="tx1"/>
                                </w14:solidFill>
                              </w14:textFill>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6pt;mso-position-horizontal:right;mso-position-horizontal-relative:margin;z-index:251658240;mso-width-relative:page;mso-height-relative:page;" filled="f" stroked="f" coordsize="21600,21600" o:gfxdata="UEsDBAoAAAAAAIdO4kAAAAAAAAAAAAAAAAAEAAAAZHJzL1BLAwQUAAAACACHTuJAy1P6D9IAAAAE&#10;AQAADwAAAGRycy9kb3ducmV2LnhtbE2PQU/DMAyF70j8h8hI3FiyHlBVmu6AYAc40SHE0WvdptA4&#10;VZN1g1+PxwUulp7e8/PncnPyo1pojkNgC+uVAUXchHbg3sLr7vEmBxUTcotjYLLwRRE21eVFiUUb&#10;jvxCS516JSUcC7TgUpoKrWPjyGNchYlYvC7MHpPIudftjEcp96POjLnVHgeWCw4nunfUfNYHLxhv&#10;z8Zvvzv37p+wi7XbLduHD2uvr9bmDlSiU/oLwxlfdqASpn04cBvVaEEeSb/z7GWi9hayPDegq1L/&#10;h69+AFBLAwQUAAAACACHTuJAkah+SxoCAAAXBAAADgAAAGRycy9lMm9Eb2MueG1srVPNjtMwEL4j&#10;8Q6W7zRpEaWqmq7KroqQKnalgji7jtNE8h+226Q8ALwBJy7cea4+B5+dpouAE+LijGcmn2e++WZx&#10;0ylJjsL5xuiCjkc5JUJzUzZ6X9D379bPZpT4wHTJpNGioCfh6c3y6ZNFa+diYmojS+EIQLSft7ag&#10;dQh2nmWe10IxPzJWaAQr4xQLuLp9VjrWAl3JbJLn06w1rrTOcOE9vHd9kC4TflUJHu6ryotAZEFR&#10;W0inS+cuntlyweZ7x2zd8EsZ7B+qUKzRePQKdccCIwfX/AGlGu6MN1UYcaMyU1UNF6kHdDPOf+tm&#10;WzMrUi8gx9srTf7/wfK3xwdHmhKzm1KimcKMzl+/nL/9OH//TOADQa31c+RtLTJD98p0SB78Hs7Y&#10;d1c5Fb/oiCAOqk9XekUXCIfz5RQTo4QjMp5NZjNcgJ49/mydD6+FUSQaBXWYXiKVHTc+9KlDSnxL&#10;m3UjZZqg1KQt6PT5izz9cI0AXOqYK5IWLjCxob7waIVu11263JnyhCad6XXiLV83KGXDfHhgDsJA&#10;+RB7uMdRSYMnzcWipDbu09/8MR/zQpSSFkIrqP94YE5QIt9oTDKqcjDcYOwGQx/UrYF2x1gjy5OJ&#10;H1yQg1k5oz5gB1bxFYSY5niroGEwb0Mvd+wQF6tVSoL2LAsbvbU8QkeCvF0dAghNPEdaei4wn3iB&#10;+tKkLpsS5f3rPWU97vPy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tT+g/SAAAABAEAAA8AAAAA&#10;AAAAAQAgAAAAIgAAAGRycy9kb3ducmV2LnhtbFBLAQIUABQAAAAIAIdO4kCRqH5LGgIAABcEAAAO&#10;AAAAAAAAAAEAIAAAACEBAABkcnMvZTJvRG9jLnhtbFBLBQYAAAAABgAGAFkBAACtBQAAAAA=&#10;">
              <v:fill on="f" focussize="0,0"/>
              <v:stroke on="f" weight="0.5pt"/>
              <v:imagedata o:title=""/>
              <o:lock v:ext="edit" aspectratio="f"/>
              <v:textbox inset="0mm,0mm,0mm,0mm" style="mso-fit-shape-to-text:t;">
                <w:txbxContent>
                  <w:p>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 PAGE  \* MERGEFORMAT </w:instrText>
                    </w:r>
                    <w:r>
                      <w:rPr>
                        <w:rFonts w:hint="eastAsia"/>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rFonts w:hint="eastAsia"/>
                        <w:color w:val="000000" w:themeColor="text1"/>
                        <w14:textFill>
                          <w14:solidFill>
                            <w14:schemeClr w14:val="tx1"/>
                          </w14:solidFill>
                        </w14:textFill>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94F99B"/>
    <w:multiLevelType w:val="singleLevel"/>
    <w:tmpl w:val="B494F99B"/>
    <w:lvl w:ilvl="0" w:tentative="0">
      <w:start w:val="1"/>
      <w:numFmt w:val="decimal"/>
      <w:suff w:val="space"/>
      <w:lvlText w:val="%1)"/>
      <w:lvlJc w:val="left"/>
    </w:lvl>
  </w:abstractNum>
  <w:abstractNum w:abstractNumId="1">
    <w:nsid w:val="C66A945F"/>
    <w:multiLevelType w:val="singleLevel"/>
    <w:tmpl w:val="C66A945F"/>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F21C9D"/>
    <w:rsid w:val="20A30984"/>
    <w:rsid w:val="35F21C9D"/>
    <w:rsid w:val="4F6938A9"/>
    <w:rsid w:val="6B0E48C1"/>
    <w:rsid w:val="74745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4.bin"/><Relationship Id="rId8" Type="http://schemas.openxmlformats.org/officeDocument/2006/relationships/oleObject" Target="embeddings/oleObject3.bin"/><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0" Type="http://schemas.openxmlformats.org/officeDocument/2006/relationships/fontTable" Target="fontTable.xml"/><Relationship Id="rId4" Type="http://schemas.openxmlformats.org/officeDocument/2006/relationships/theme" Target="theme/theme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oleObject" Target="embeddings/oleObject32.bin"/><Relationship Id="rId36" Type="http://schemas.openxmlformats.org/officeDocument/2006/relationships/oleObject" Target="embeddings/oleObject31.bin"/><Relationship Id="rId35" Type="http://schemas.openxmlformats.org/officeDocument/2006/relationships/oleObject" Target="embeddings/oleObject30.bin"/><Relationship Id="rId34" Type="http://schemas.openxmlformats.org/officeDocument/2006/relationships/oleObject" Target="embeddings/oleObject29.bin"/><Relationship Id="rId33" Type="http://schemas.openxmlformats.org/officeDocument/2006/relationships/oleObject" Target="embeddings/oleObject28.bin"/><Relationship Id="rId32" Type="http://schemas.openxmlformats.org/officeDocument/2006/relationships/oleObject" Target="embeddings/oleObject27.bin"/><Relationship Id="rId31" Type="http://schemas.openxmlformats.org/officeDocument/2006/relationships/oleObject" Target="embeddings/oleObject26.bin"/><Relationship Id="rId30" Type="http://schemas.openxmlformats.org/officeDocument/2006/relationships/oleObject" Target="embeddings/oleObject25.bin"/><Relationship Id="rId3" Type="http://schemas.openxmlformats.org/officeDocument/2006/relationships/footer" Target="footer1.xml"/><Relationship Id="rId29" Type="http://schemas.openxmlformats.org/officeDocument/2006/relationships/oleObject" Target="embeddings/oleObject24.bin"/><Relationship Id="rId28" Type="http://schemas.openxmlformats.org/officeDocument/2006/relationships/oleObject" Target="embeddings/oleObject23.bin"/><Relationship Id="rId27" Type="http://schemas.openxmlformats.org/officeDocument/2006/relationships/oleObject" Target="embeddings/oleObject22.bin"/><Relationship Id="rId26" Type="http://schemas.openxmlformats.org/officeDocument/2006/relationships/oleObject" Target="embeddings/oleObject21.bin"/><Relationship Id="rId25" Type="http://schemas.openxmlformats.org/officeDocument/2006/relationships/oleObject" Target="embeddings/oleObject20.bin"/><Relationship Id="rId24" Type="http://schemas.openxmlformats.org/officeDocument/2006/relationships/oleObject" Target="embeddings/oleObject19.bin"/><Relationship Id="rId23" Type="http://schemas.openxmlformats.org/officeDocument/2006/relationships/oleObject" Target="embeddings/oleObject18.bin"/><Relationship Id="rId22" Type="http://schemas.openxmlformats.org/officeDocument/2006/relationships/oleObject" Target="embeddings/oleObject17.bin"/><Relationship Id="rId21" Type="http://schemas.openxmlformats.org/officeDocument/2006/relationships/oleObject" Target="embeddings/oleObject16.bin"/><Relationship Id="rId20" Type="http://schemas.openxmlformats.org/officeDocument/2006/relationships/oleObject" Target="embeddings/oleObject15.bin"/><Relationship Id="rId2" Type="http://schemas.openxmlformats.org/officeDocument/2006/relationships/settings" Target="settings.xml"/><Relationship Id="rId19" Type="http://schemas.openxmlformats.org/officeDocument/2006/relationships/oleObject" Target="embeddings/oleObject14.bin"/><Relationship Id="rId18" Type="http://schemas.openxmlformats.org/officeDocument/2006/relationships/oleObject" Target="embeddings/oleObject13.bin"/><Relationship Id="rId17" Type="http://schemas.openxmlformats.org/officeDocument/2006/relationships/oleObject" Target="embeddings/oleObject12.bin"/><Relationship Id="rId16" Type="http://schemas.openxmlformats.org/officeDocument/2006/relationships/oleObject" Target="embeddings/oleObject11.bin"/><Relationship Id="rId15" Type="http://schemas.openxmlformats.org/officeDocument/2006/relationships/oleObject" Target="embeddings/oleObject10.bin"/><Relationship Id="rId14" Type="http://schemas.openxmlformats.org/officeDocument/2006/relationships/oleObject" Target="embeddings/oleObject9.bin"/><Relationship Id="rId13" Type="http://schemas.openxmlformats.org/officeDocument/2006/relationships/oleObject" Target="embeddings/oleObject8.bin"/><Relationship Id="rId12" Type="http://schemas.openxmlformats.org/officeDocument/2006/relationships/oleObject" Target="embeddings/oleObject7.bin"/><Relationship Id="rId11" Type="http://schemas.openxmlformats.org/officeDocument/2006/relationships/oleObject" Target="embeddings/oleObject6.bin"/><Relationship Id="rId10" Type="http://schemas.openxmlformats.org/officeDocument/2006/relationships/oleObject" Target="embeddings/oleObject5.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778</Words>
  <Characters>4586</Characters>
  <Lines>0</Lines>
  <Paragraphs>0</Paragraphs>
  <ScaleCrop>false</ScaleCrop>
  <LinksUpToDate>false</LinksUpToDate>
  <CharactersWithSpaces>5302</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2019-09-22T13:25:00Z</dcterms:created>
  <dc:creator>钟晚思</dc:creator>
  <cp:lastModifiedBy>钟晚思</cp:lastModifiedBy>
  <dcterms:modified xsi:type="dcterms:W3CDTF">2019-11-12T02:09:02Z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